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2024-04-11 15:11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刘先生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34</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本科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河南省禹州市</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技术场长,副场长,畜牧场场长</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就读学校：河南农业大学 
                <w:br/>
                就读时间：2009-09-01-2013-07-01
                <w:br/>
                就读专业：动物医学
                <w:br/>
                专业描述：主修课程：
兽医传染病学、兽医临床诊断学、兽医寄生虫学、兽医免疫学、预防兽医学、兽医药理学、兽医病理学、动物生物化学、动物生理学、动物解剖学、兽医内科学等。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工作单位：郑州市豫中兽医技术服务有限公司 
                <w:br/>
                工作时间：2013-07-01-2019-03-31
                <w:br/>
                在职职位：兽医师
                <w:br/>
                工作地点：郑州市
                <w:br/>
                工作职责：负责送检家畜家禽等动物的病理剖检分析及临床疾病诊断，并出具书面分析诊断报告。
根据诊断结果为客户提供治疗方案。
畜禽的抗原抗体检测监测，评估免疫效果或诊断疾病。
提供其它畜禽方面技术支持。
                <w:br/>
                <w:br/>
                 工作单位：方城县鸿旺牧业 
                <w:br/>
                工作时间：2019-04-01-2023-12-31
                <w:br/>
                在职职位：兽医
                <w:br/>
                工作地点：南阳方城
                <w:br/>
                工作职责：服务场区为2万头存栏育肥场
负责场区月度免疫、保健、药品预算、检测计划的上报和监督落实。
负责场区的猪群健康管理和生物安全执行监督，场内疫病疫情的监测。
负责场内疫病的诊断、防治，和员工的兽医技术培训。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我是一名有实践经验的兽医，有着丰富知识和优秀的分析能力，在临床药物治疗及兽药应用方面具备扎实的理论基础和丰富的实践经验。具备优秀的观察能力，能准确判断兽医治疗的病症和药物的效果。同时，我还拥有良好的沟通能力，善于与客户及同行进行有效的沟通，为客户提供最优质的指导服务。此外，我也具备较强的领导能力和良好的组织协调能力，能有力地带领团队完成工作任务。</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13年获得执业兽医资格证
大学期间通过英语四级考试
大学期间获得大北农奖学金
2021年禹州市新冠防疫“优秀志愿者”</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