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2024-05-17 06:41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李晓莉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22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襄职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中专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市场内勤,仓管/物流员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湖北省|浙江省|福建省|山东省|湖南省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/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工作单位：浙江华统股份有限公司 
                <w:br/>
                工作时间：2020-03-07-2021-07-07
                <w:br/>
                在职职位：内勤
                <w:br/>
                工作地点：丽水里塘
                <w:br/>
                工作职责：1. 统计每月私人物资采购事项
2. 场内每天生产日报表检查核对
3. 药品合同对接
4. 场内猪只转群过磅登记以及系统录入
5. 场内单据汇总与审核（销售单、进猪单等）
6. 省内畜牧系统录入与核对	 	 	 	 	
7. 统计、核对场内所有人员考勤并录入系统	 	 	 	 	
8. 每月对场内固定资产、物资仓库、猪群盘点	 	 	 	 	
9. 沟通总部领导并协助处理场内事务	 	 	 	 	
10.协助场长处理场内其他事务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