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2024-03-28 22:46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林静</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35</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新疆农业大学</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硕士</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面议</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反刍服务人员,配方师,饲料添加剂市场策划</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天津市</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就读学校：新疆农业大学 
                <w:br/>
                就读时间：2010-09-01-2014-06-20
                <w:br/>
                就读专业：动物科学
                <w:br/>
                专业描述：1、具备扎实的数学、物理、化学等基本理论知识；2、初步握动物科学的基本理论和动物遗传育种、动物繁殖、动物营养与饲料等方面的基础知识
                <w:br/>
                 就读学校：中国农业大学（联合培养硕士） 
                <w:br/>
                就读时间：2015-06-10-2017-06-15
                <w:br/>
                就读专业：反刍动物营养
                <w:br/>
                专业描述：系统学习奶牛营养需要的知识，通过驻场实习、独立设计并完成毕业实验，培养文献阅读和写作技能，发表相关论文 
                <w:br/>
                 就读学校：中国农业大学访学交流 
                <w:br/>
                就读时间：2012-06-10-2013-06-20
                <w:br/>
                就读专业：动物科学
                <w:br/>
                专业描述：作为访学生学习动物科学的专业基础知识，参与老师的课题实验，参加饲料化验员技能考核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工作单位：荣环（北京）技术咨询有限公司 
                <w:br/>
                工作时间：2019-07-15-2022-03-01
                <w:br/>
                在职职位：技术支持
                <w:br/>
                工作地点：北京市大兴区
                <w:br/>
                工作职责：客户群体：国内代理商 境外饲料生产企业  
工作内容：负责为境外饲料和冻肉生产企业提供中国进口贸易合规咨询服务；为海外市场部前期工作提供技术支持！
其他工作：
1.负责公司新员工的技术和业务培训了；
2.定期参加进出口食品和饲料法规培训和行业论坛；
3. 公司网站建设和公众号维护；
4.技术文章的发布和撰写；
                <w:br/>
                <w:br/>
                 工作单位：京元瑞环（北京）技术咨询有限公司 
                <w:br/>
                工作时间：2017-07-17-2019-06-28
                <w:br/>
                在职职位：技术支持
                <w:br/>
                工作地点：北京市通州区绿地中央广场
                <w:br/>
                工作职责：进出口饲料和饲料添加剂准入咨询
                <w:br/>
                <w:br/>
                 工作单位：中地乳业集团有限公司 
                <w:br/>
                工作时间：2015-09-01-2016-12-30
                <w:br/>
                在职职位：实习生
                <w:br/>
                工作地点：中地乳业集团有限公司 顺义牧场
                <w:br/>
                工作职责：主要研究添加不同剂量奶牛用复合酶（湖南尤特尔生化有限公司生产）对奶牛瘤胃内环境和生产性能的影响，为复合酶制剂在奶牛生产上的应用提供科学依据。主要负责了实验方案的设计与执行，数据的收集与统计分析整理成报告，并在核心期刊发表
                <w:br/>
                <w:br/>
                 工作单位：北京首农畜牧发展有限公司 
                <w:br/>
                工作时间：2016-06-10-2016-09-27
                <w:br/>
                在职职位：实习生
                <w:br/>
                工作地点：首农三元绿荷金银岛牧场
                <w:br/>
                工作职责：1.主要研究反刍专用酵母产品对泌乳奶牛生产性能、瘤胃发酵、血液生化指标的影响，同时研究反刍专用酵母产品对瘤胃微生物区系的影响，并探讨其作用机理。全程负责实验方案的设计与执行，数据的收集与统计分析整理成报告，并在核心期刊发表；2、协助牧场数据统计工作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1. 动物营养与饲料科学专业，在校期间多次驻场实习经历积累了一定的奶牛和家禽饲料营养和养殖管理知识、熟悉实验室常规饲料检测技术及规程，具有较好的学习和适应能力；
2.长期从事进出口饲料和冻肉产品合规咨询与实操工作，善于沟通与交流，思考问题比较全面，积极认真，灵活应对！</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